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/>
    </w:p>
    <w:p>
      <w:pPr>
        <w:pBdr>
          <w:top w:val="vine" w:color="000000" w:sz="4" w:space="0"/>
          <w:left w:val="vine" w:color="000000" w:sz="4" w:space="0"/>
          <w:bottom w:val="vine" w:color="000000" w:sz="4" w:space="0"/>
          <w:right w:val="vi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Herlon Jackson Coelho Serejo é graduado em Ciências Contábeis e especialista com Pós-Graduação em Auditoria, ambos pela UFMA (Universidade Federal do Maranhão).</w:t>
      </w:r>
      <w:r>
        <w:rPr>
          <w:sz w:val="24"/>
          <w:szCs w:val="24"/>
        </w:rPr>
      </w:r>
    </w:p>
    <w:p>
      <w:pPr>
        <w:pBdr>
          <w:top w:val="vine" w:color="000000" w:sz="4" w:space="0"/>
          <w:left w:val="vine" w:color="000000" w:sz="4" w:space="0"/>
          <w:bottom w:val="vine" w:color="000000" w:sz="4" w:space="0"/>
          <w:right w:val="vi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É servidor público federal concursado no IFMA (Instituto Federal de Educação, Ciência e Tecnologia do Maranhão) como Auditor Interno desde 2015.</w:t>
      </w:r>
      <w:r>
        <w:rPr>
          <w:sz w:val="24"/>
          <w:szCs w:val="24"/>
        </w:rPr>
      </w:r>
    </w:p>
    <w:p>
      <w:pPr>
        <w:pBdr>
          <w:top w:val="vine" w:color="000000" w:sz="4" w:space="0"/>
          <w:left w:val="vine" w:color="000000" w:sz="4" w:space="0"/>
          <w:bottom w:val="vine" w:color="000000" w:sz="4" w:space="0"/>
          <w:right w:val="vi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Na CAEMA, construiu uma sólida trajetória como Contador (no período de abril de 2008 a Outubro/2015, aproximadamente 8 anos), com lotação na Coordenadoria de Contabilidade, onde também atuou como Coordenador. Além disso, nos últimos 4 anos, integrou e presidiu o Comitê de Au</w:t>
      </w:r>
      <w:r>
        <w:rPr>
          <w:sz w:val="24"/>
          <w:szCs w:val="24"/>
        </w:rPr>
        <w:t xml:space="preserve">ditoria Estatutário da CAEMA, consolidando ampla e qualificada experiência técnica em governança e controle para representar os empregados no Conselho Fiscal.</w:t>
      </w:r>
      <w:r>
        <w:rPr>
          <w:sz w:val="24"/>
          <w:szCs w:val="24"/>
        </w:rPr>
      </w:r>
    </w:p>
    <w:p>
      <w:pPr>
        <w:pBdr>
          <w:top w:val="vine" w:color="000000" w:sz="4" w:space="0"/>
          <w:left w:val="vine" w:color="000000" w:sz="4" w:space="0"/>
          <w:bottom w:val="vine" w:color="000000" w:sz="4" w:space="0"/>
          <w:right w:val="vine" w:color="000000" w:sz="4" w:space="0"/>
        </w:pBdr>
        <w:spacing/>
        <w:ind w:right="0" w:firstLine="0" w:left="0"/>
        <w:jc w:val="both"/>
        <w:rPr>
          <w:szCs w:val="24"/>
          <w14:ligatures w14:val="none"/>
        </w:rPr>
      </w:pPr>
      <w:r>
        <w:rPr>
          <w:sz w:val="24"/>
          <w:szCs w:val="24"/>
        </w:rPr>
        <w:t xml:space="preserve">Como candidato à representação dos empregados no </w:t>
      </w:r>
      <w:r>
        <w:rPr>
          <w:sz w:val="24"/>
          <w:szCs w:val="24"/>
        </w:rPr>
        <w:t xml:space="preserve">Conselho Fiscal</w:t>
      </w:r>
      <w:r>
        <w:rPr>
          <w:sz w:val="24"/>
          <w:szCs w:val="24"/>
        </w:rPr>
        <w:t xml:space="preserve">, assume o compromisso intransigente com a estrita observância da </w:t>
      </w:r>
      <w:r>
        <w:rPr>
          <w:sz w:val="24"/>
          <w:szCs w:val="24"/>
        </w:rPr>
        <w:t xml:space="preserve">Lei nº 6.404/1976</w:t>
      </w:r>
      <w:r>
        <w:rPr>
          <w:sz w:val="24"/>
          <w:szCs w:val="24"/>
        </w:rPr>
        <w:t xml:space="preserve"> e do Estatuto Social da CAEMA, com especial atenção aos preceitos do </w:t>
      </w:r>
      <w:r>
        <w:rPr>
          <w:sz w:val="24"/>
          <w:szCs w:val="24"/>
        </w:rPr>
        <w:t xml:space="preserve">Capítulo XIII da Lei das S.A.</w:t>
      </w:r>
      <w:r>
        <w:rPr>
          <w:sz w:val="24"/>
          <w:szCs w:val="24"/>
        </w:rPr>
        <w:t xml:space="preserve"> e do </w:t>
      </w:r>
      <w:r>
        <w:rPr>
          <w:sz w:val="24"/>
          <w:szCs w:val="24"/>
        </w:rPr>
        <w:t xml:space="preserve">Título V do Estatuto</w:t>
      </w:r>
      <w:r>
        <w:rPr>
          <w:sz w:val="24"/>
          <w:szCs w:val="24"/>
        </w:rPr>
        <w:t xml:space="preserve">, atuando com independência, rigor técnico e transparência na fiscalização da gestão econômico-financeira da companhia.</w:t>
      </w:r>
      <w:r>
        <w:rPr>
          <w:sz w:val="24"/>
          <w:szCs w:val="24"/>
        </w:rPr>
      </w:r>
    </w:p>
    <w:p>
      <w:pPr>
        <w:pBdr>
          <w:top w:val="vine" w:color="000000" w:sz="4" w:space="0"/>
          <w:left w:val="vine" w:color="000000" w:sz="4" w:space="0"/>
          <w:bottom w:val="vine" w:color="000000" w:sz="4" w:space="0"/>
          <w:right w:val="vi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0"/>
    <w:next w:val="66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0"/>
    <w:next w:val="66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0"/>
    <w:next w:val="66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0"/>
    <w:next w:val="66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/>
      <w:ind/>
    </w:pPr>
  </w:style>
  <w:style w:type="table" w:styleId="66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2" w:default="1">
    <w:name w:val="No List"/>
    <w:uiPriority w:val="99"/>
    <w:semiHidden/>
    <w:unhideWhenUsed/>
    <w:pPr>
      <w:pBdr/>
      <w:spacing/>
      <w:ind/>
    </w:pPr>
  </w:style>
  <w:style w:type="paragraph" w:styleId="663">
    <w:name w:val="No Spacing"/>
    <w:basedOn w:val="660"/>
    <w:uiPriority w:val="1"/>
    <w:qFormat/>
    <w:pPr>
      <w:pBdr/>
      <w:spacing w:after="0" w:line="240" w:lineRule="auto"/>
      <w:ind/>
    </w:pPr>
  </w:style>
  <w:style w:type="paragraph" w:styleId="664">
    <w:name w:val="List Paragraph"/>
    <w:basedOn w:val="660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ONLYOFFICE/8.2.0.143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2026-10-29T13:38:24Z</dcterms:modified>
</cp:coreProperties>
</file>